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rFonts w:eastAsia="Calibri" w:cs="Arial" w:ascii="Arial" w:hAnsi="Arial" w:eastAsiaTheme="minorHAnsi"/>
          <w:b/>
          <w:color w:val="auto"/>
          <w:kern w:val="0"/>
          <w:sz w:val="22"/>
          <w:szCs w:val="22"/>
          <w:lang w:val="pt-BR" w:eastAsia="en-US" w:bidi="ar-SA"/>
        </w:rPr>
        <w:t>TÍTULO</w:t>
      </w: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Style w:val="Ncoradanotaderodap"/>
          <w:rFonts w:cs="Arial" w:ascii="Arial" w:hAnsi="Arial"/>
          <w:b/>
          <w:sz w:val="22"/>
          <w:szCs w:val="22"/>
        </w:rPr>
        <w:footnoteReference w:id="2"/>
      </w:r>
    </w:p>
    <w:p>
      <w:pPr>
        <w:pStyle w:val="Normal"/>
        <w:jc w:val="center"/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Arial" w:ascii="Arial" w:hAnsi="Arial"/>
          <w:b/>
          <w:sz w:val="24"/>
          <w:szCs w:val="24"/>
        </w:rPr>
        <w:t>Autor 1</w:t>
      </w:r>
      <w:r>
        <w:rPr>
          <w:rStyle w:val="Ncoradanotaderodap"/>
          <w:rFonts w:cs="Arial" w:ascii="Arial" w:hAnsi="Arial"/>
          <w:b/>
          <w:sz w:val="24"/>
          <w:szCs w:val="24"/>
        </w:rPr>
        <w:footnoteReference w:id="3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Arial" w:ascii="Arial" w:hAnsi="Arial"/>
          <w:b/>
          <w:sz w:val="24"/>
          <w:szCs w:val="24"/>
        </w:rPr>
        <w:t>Autor 2</w:t>
      </w:r>
      <w:r>
        <w:rPr>
          <w:rStyle w:val="Ncoradanotaderodap"/>
          <w:rFonts w:cs="Arial" w:ascii="Arial" w:hAnsi="Arial"/>
          <w:b/>
          <w:sz w:val="24"/>
          <w:szCs w:val="24"/>
        </w:rPr>
        <w:footnoteReference w:id="4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Arial" w:ascii="Arial" w:hAnsi="Arial"/>
          <w:b/>
          <w:sz w:val="24"/>
          <w:szCs w:val="24"/>
        </w:rPr>
        <w:t>Autor 3</w:t>
      </w:r>
      <w:r>
        <w:rPr>
          <w:rStyle w:val="Ncoradanotaderodap"/>
          <w:rFonts w:cs="Arial" w:ascii="Arial" w:hAnsi="Arial"/>
          <w:b/>
          <w:sz w:val="24"/>
          <w:szCs w:val="24"/>
        </w:rPr>
        <w:footnoteReference w:id="5"/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before="120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2"/>
          <w:szCs w:val="22"/>
        </w:rPr>
        <w:t>RESUMO</w:t>
      </w:r>
    </w:p>
    <w:p>
      <w:pPr>
        <w:pStyle w:val="Normal"/>
        <w:spacing w:before="144" w:after="160"/>
        <w:ind w:right="110" w:hanging="0"/>
        <w:jc w:val="both"/>
        <w:rPr/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O presente artigo </w:t>
      </w:r>
      <w:r>
        <w:rPr>
          <w:rFonts w:cs="Arial" w:ascii="Arial" w:hAnsi="Arial"/>
          <w:i w:val="false"/>
          <w:iCs w:val="false"/>
          <w:sz w:val="22"/>
          <w:szCs w:val="22"/>
        </w:rPr>
        <w:t>xxxxxxxxxxxxxxxxxxxxxxxxxxxxxxxxxxxxxxxxxxxxxxxxxxxxxxxxxxxxxxxxxxxxxxxxxxxxxxxxxxxxxxxxxxxxxxxxxxxxxxxxxxxxxxxxxxxxxxxxxxxxxxxxxxxxxxxxxxxxxxxxxxxxxxxxxxxxxxxxxx</w:t>
      </w:r>
    </w:p>
    <w:p>
      <w:pPr>
        <w:pStyle w:val="Normal"/>
        <w:spacing w:before="120" w:after="120"/>
        <w:jc w:val="both"/>
        <w:rPr/>
      </w:pPr>
      <w:r>
        <w:rPr>
          <w:rFonts w:cs="Arial" w:ascii="Arial" w:hAnsi="Arial"/>
          <w:b/>
          <w:i w:val="false"/>
          <w:iCs w:val="false"/>
          <w:sz w:val="22"/>
          <w:szCs w:val="22"/>
        </w:rPr>
        <w:t xml:space="preserve">Palavras-chave: </w:t>
      </w:r>
      <w:r>
        <w:rPr>
          <w:rFonts w:cs="Arial" w:ascii="Arial" w:hAnsi="Arial"/>
          <w:b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.</w:t>
      </w:r>
    </w:p>
    <w:p>
      <w:pPr>
        <w:pStyle w:val="Normal"/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120" w:after="12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>INTRODUÇÃO</w:t>
      </w:r>
    </w:p>
    <w:p>
      <w:pPr>
        <w:pStyle w:val="Normal"/>
        <w:spacing w:lineRule="auto" w:line="360" w:before="120" w:after="120"/>
        <w:ind w:firstLine="709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 Racismo, segundo Gomes (2012) é um termo amplo e complexo, que remete a um conjunto de ideias e imagens referentes aos grupos humanos que acreditam na existência de raças superiores e inferiores. Durante séculos, devido a forte influência europeia na produção do espaço brasileiro, o racismo foi impregnado e reproduzido pelas principais esferas da sociedade, materializado em leis e discursos que finalizavam tratar o negro como uma raça inferior aos brancos. </w:t>
      </w:r>
    </w:p>
    <w:p>
      <w:pPr>
        <w:pStyle w:val="Normal"/>
        <w:spacing w:lineRule="auto" w:line="240" w:before="120" w:after="120"/>
        <w:ind w:left="2268" w:hanging="0"/>
        <w:jc w:val="both"/>
        <w:rPr>
          <w:rFonts w:ascii="Arial" w:hAnsi="Arial" w:cs="Arial"/>
          <w:sz w:val="22"/>
          <w:szCs w:val="22"/>
        </w:rPr>
      </w:pPr>
      <w:r>
        <w:rPr/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rightMargin">
                  <wp:align>center</wp:align>
                </wp:positionH>
                <wp:positionV relativeFrom="margin">
                  <wp:align>bottom</wp:align>
                </wp:positionV>
                <wp:extent cx="513080" cy="694690"/>
                <wp:effectExtent l="0" t="0" r="3810" b="0"/>
                <wp:wrapNone/>
                <wp:docPr id="1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80" cy="6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sdt>
                            <w:sdtPr>
                              <w:docPartObj>
                                <w:docPartGallery w:val="Page Numbers (Margins)"/>
                                <w:docPartUnique w:val="true"/>
                              </w:docPartObj>
                              <w:id w:val="866246224"/>
                            </w:sdtPr>
                            <w:sdtContent>
                              <w:p>
                                <w:pPr>
                                  <w:pStyle w:val="Rodap"/>
                                  <w:rPr/>
                                </w:pPr>
                                <w:r>
                                  <w:rPr>
                                    <w:rFonts w:eastAsia="" w:cs="" w:ascii="Calibri Light" w:hAnsi="Calibri Light" w:asciiTheme="majorHAnsi" w:cstheme="majorBidi" w:eastAsiaTheme="majorEastAsia" w:hAnsiTheme="majorHAnsi"/>
                                    <w:color w:val="000000"/>
                                  </w:rPr>
                                  <w:t>Página</w:t>
                                </w:r>
                                <w:r>
                                  <w:rPr>
                                    <w:rFonts w:eastAsia="" w:cs="" w:ascii="Calibri Light" w:hAnsi="Calibri Light"/>
                                    <w:sz w:val="44"/>
                                    <w:szCs w:val="4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instrText> PAGE </w:instrTex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t>1</w: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anchor="ctr" vert="vert270" rot="16200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2" stroked="f" style="position:absolute;margin-left:15.25pt;margin-top:645.4pt;width:40.3pt;height:54.6pt;mso-position-horizontal:center;mso-position-horizontal-relative:page;mso-position-vertical:bottom;mso-position-vertical-relative:margin">
                <w10:wrap type="square"/>
                <v:fill o:detectmouseclick="t" on="false"/>
                <v:stroke color="#3465a4" joinstyle="round" endcap="flat"/>
                <v:textbox style="mso-layout-flow-alt:bottom-to-top">
                  <w:txbxContent>
                    <w:sdt>
                      <w:sdtPr>
                        <w:docPartObj>
                          <w:docPartGallery w:val="Page Numbers (Margins)"/>
                          <w:docPartUnique w:val="true"/>
                        </w:docPartObj>
                        <w:id w:val="938017906"/>
                      </w:sdtPr>
                      <w:sdtContent>
                        <w:p>
                          <w:pPr>
                            <w:pStyle w:val="Rodap"/>
                            <w:rPr/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val="000000"/>
                            </w:rPr>
                            <w:t>Página</w:t>
                          </w:r>
                          <w:r>
                            <w:rPr>
                              <w:rFonts w:eastAsia="" w:cs="" w:ascii="Calibri Light" w:hAnsi="Calibri Light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instrText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t>1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120" w:after="120"/>
        <w:ind w:left="2268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Além disso, ao lado do conhecimento científico e da preparação para o mundo tecnológico e comunicacional é necessária a difusão de saberes socialmente úteis, entre outros, o desenvolvimento e a defesa do meio ambiente, a luta contra a violência, o racismo e a segregação social, os direitos humanos (LIBÂNEO, 2004, p. 45). </w:t>
      </w:r>
    </w:p>
    <w:p>
      <w:pPr>
        <w:pStyle w:val="Normal"/>
        <w:spacing w:lineRule="auto" w:line="240" w:before="120" w:after="120"/>
        <w:ind w:left="226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rightMargin">
                  <wp:align>center</wp:align>
                </wp:positionH>
                <wp:positionV relativeFrom="margin">
                  <wp:align>bottom</wp:align>
                </wp:positionV>
                <wp:extent cx="513080" cy="694690"/>
                <wp:effectExtent l="0" t="0" r="3810" b="0"/>
                <wp:wrapNone/>
                <wp:docPr id="3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80" cy="6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sdt>
                            <w:sdtPr>
                              <w:docPartObj>
                                <w:docPartGallery w:val="Page Numbers (Margins)"/>
                                <w:docPartUnique w:val="true"/>
                              </w:docPartObj>
                              <w:id w:val="1736899636"/>
                            </w:sdtPr>
                            <w:sdtContent>
                              <w:p>
                                <w:pPr>
                                  <w:pStyle w:val="Rodap"/>
                                  <w:rPr/>
                                </w:pPr>
                                <w:r>
                                  <w:rPr>
                                    <w:rFonts w:eastAsia="" w:cs="" w:ascii="Calibri Light" w:hAnsi="Calibri Light" w:asciiTheme="majorHAnsi" w:cstheme="majorBidi" w:eastAsiaTheme="majorEastAsia" w:hAnsiTheme="majorHAnsi"/>
                                    <w:color w:val="000000"/>
                                  </w:rPr>
                                  <w:t>Página</w:t>
                                </w:r>
                                <w:r>
                                  <w:rPr>
                                    <w:rFonts w:eastAsia="" w:cs="" w:ascii="Calibri Light" w:hAnsi="Calibri Light"/>
                                    <w:sz w:val="44"/>
                                    <w:szCs w:val="4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instrText> PAGE </w:instrTex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t>1</w: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anchor="ctr" vert="vert270" rot="16200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2" stroked="f" style="position:absolute;margin-left:15.25pt;margin-top:645.4pt;width:40.3pt;height:54.6pt;mso-position-horizontal:center;mso-position-horizontal-relative:page;mso-position-vertical:bottom;mso-position-vertical-relative:margin">
                <w10:wrap type="square"/>
                <v:fill o:detectmouseclick="t" on="false"/>
                <v:stroke color="#3465a4" joinstyle="round" endcap="flat"/>
                <v:textbox style="mso-layout-flow-alt:bottom-to-top">
                  <w:txbxContent>
                    <w:sdt>
                      <w:sdtPr>
                        <w:docPartObj>
                          <w:docPartGallery w:val="Page Numbers (Margins)"/>
                          <w:docPartUnique w:val="true"/>
                        </w:docPartObj>
                        <w:id w:val="862107993"/>
                      </w:sdtPr>
                      <w:sdtContent>
                        <w:p>
                          <w:pPr>
                            <w:pStyle w:val="Rodap"/>
                            <w:rPr/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val="000000"/>
                            </w:rPr>
                            <w:t>Página</w:t>
                          </w:r>
                          <w:r>
                            <w:rPr>
                              <w:rFonts w:eastAsia="" w:cs="" w:ascii="Calibri Light" w:hAnsi="Calibri Light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instrText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t>1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 w:before="120" w:after="120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120" w:after="120"/>
        <w:jc w:val="both"/>
        <w:rPr/>
      </w:pPr>
      <w:r>
        <w:rPr>
          <w:rFonts w:cs="Arial" w:ascii="Arial" w:hAnsi="Arial"/>
          <w:b/>
          <w:sz w:val="22"/>
          <w:szCs w:val="22"/>
        </w:rPr>
        <w:t>TÓPICO 2</w:t>
      </w:r>
    </w:p>
    <w:p>
      <w:pPr>
        <w:pStyle w:val="Normal"/>
        <w:spacing w:lineRule="auto" w:line="360" w:before="120" w:after="120"/>
        <w:jc w:val="both"/>
        <w:rPr/>
      </w:pPr>
      <w:r>
        <w:rPr>
          <w:rFonts w:cs="Arial" w:ascii="Arial" w:hAnsi="Arial"/>
          <w:b/>
          <w:sz w:val="22"/>
          <w:szCs w:val="22"/>
        </w:rPr>
        <w:t>TÓPICO 3</w:t>
      </w:r>
    </w:p>
    <w:p>
      <w:pPr>
        <w:pStyle w:val="Normal"/>
        <w:spacing w:lineRule="auto" w:line="360" w:before="120" w:after="120"/>
        <w:jc w:val="both"/>
        <w:rPr/>
      </w:pPr>
      <w:r>
        <w:rPr>
          <w:rFonts w:cs="Arial" w:ascii="Arial" w:hAnsi="Arial"/>
          <w:b/>
          <w:sz w:val="22"/>
          <w:szCs w:val="22"/>
        </w:rPr>
        <w:t>CONSIDERAÇÕES FINAIS</w:t>
      </w:r>
    </w:p>
    <w:p>
      <w:pPr>
        <w:pStyle w:val="Normal"/>
        <w:spacing w:lineRule="auto" w:line="360" w:before="120" w:after="12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rightMargin">
                  <wp:align>center</wp:align>
                </wp:positionH>
                <wp:positionV relativeFrom="margin">
                  <wp:align>bottom</wp:align>
                </wp:positionV>
                <wp:extent cx="513080" cy="697230"/>
                <wp:effectExtent l="0" t="0" r="3810" b="0"/>
                <wp:wrapNone/>
                <wp:docPr id="5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80" cy="69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sdt>
                            <w:sdtPr>
                              <w:docPartObj>
                                <w:docPartGallery w:val="Page Numbers (Margins)"/>
                                <w:docPartUnique w:val="true"/>
                              </w:docPartObj>
                              <w:id w:val="622336508"/>
                            </w:sdtPr>
                            <w:sdtContent>
                              <w:p>
                                <w:pPr>
                                  <w:pStyle w:val="Rodap"/>
                                  <w:rPr/>
                                </w:pPr>
                                <w:r>
                                  <w:rPr>
                                    <w:rFonts w:eastAsia="" w:cs="" w:ascii="Calibri Light" w:hAnsi="Calibri Light" w:asciiTheme="majorHAnsi" w:cstheme="majorBidi" w:eastAsiaTheme="majorEastAsia" w:hAnsiTheme="majorHAnsi"/>
                                    <w:color w:val="000000"/>
                                  </w:rPr>
                                  <w:t>Página</w:t>
                                </w:r>
                                <w:r>
                                  <w:rPr>
                                    <w:rFonts w:eastAsia="" w:cs="" w:ascii="Calibri Light" w:hAnsi="Calibri Light"/>
                                    <w:sz w:val="44"/>
                                    <w:szCs w:val="4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instrText> PAGE </w:instrTex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t>1</w: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anchor="ctr" vert="vert270" rot="16200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2" stroked="f" style="position:absolute;margin-left:15.25pt;margin-top:645.2pt;width:40.3pt;height:54.8pt;mso-position-horizontal:center;mso-position-horizontal-relative:page;mso-position-vertical:bottom;mso-position-vertical-relative:margin">
                <w10:wrap type="square"/>
                <v:fill o:detectmouseclick="t" on="false"/>
                <v:stroke color="#3465a4" joinstyle="round" endcap="flat"/>
                <v:textbox style="mso-layout-flow-alt:bottom-to-top">
                  <w:txbxContent>
                    <w:sdt>
                      <w:sdtPr>
                        <w:docPartObj>
                          <w:docPartGallery w:val="Page Numbers (Margins)"/>
                          <w:docPartUnique w:val="true"/>
                        </w:docPartObj>
                        <w:id w:val="161275643"/>
                      </w:sdtPr>
                      <w:sdtContent>
                        <w:p>
                          <w:pPr>
                            <w:pStyle w:val="Rodap"/>
                            <w:rPr/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val="000000"/>
                            </w:rPr>
                            <w:t>Página</w:t>
                          </w:r>
                          <w:r>
                            <w:rPr>
                              <w:rFonts w:eastAsia="" w:cs="" w:ascii="Calibri Light" w:hAnsi="Calibri Light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instrText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t>1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  <w:b/>
          <w:sz w:val="22"/>
          <w:szCs w:val="22"/>
        </w:rPr>
        <w:tab/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>REFERÊNCIAS BIBLIOGRÁFICAS</w:t>
      </w:r>
    </w:p>
    <w:p>
      <w:pPr>
        <w:pStyle w:val="Normal"/>
        <w:spacing w:lineRule="auto" w:line="240" w:before="240" w:after="24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>BRASIL. Lei 10.639/2003, de 9 de janeiro de 2003. Altera a Lei nº 9. 394, de 20 de dezembro de 1996. Diário Oficial da União, Poder Executivo, Brasília.</w:t>
      </w:r>
    </w:p>
    <w:p>
      <w:pPr>
        <w:pStyle w:val="Normal"/>
        <w:spacing w:lineRule="auto" w:line="240" w:before="240" w:after="24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>CALLAI, Helena Copetti</w:t>
      </w:r>
      <w:r>
        <w:rPr>
          <w:rFonts w:eastAsia="Times New Roman" w:cs="Arial" w:ascii="Arial" w:hAnsi="Arial"/>
          <w:b/>
          <w:lang w:eastAsia="pt-BR"/>
        </w:rPr>
        <w:t>. A Geografia e a escola:  muda a geografia? Muda o ensino?</w:t>
      </w:r>
      <w:r>
        <w:rPr>
          <w:rFonts w:eastAsia="Times New Roman" w:cs="Arial" w:ascii="Arial" w:hAnsi="Arial"/>
          <w:lang w:eastAsia="pt-BR"/>
        </w:rPr>
        <w:t xml:space="preserve"> Terra Livre. São Paulo. n. 16 p. 133-152 1o semestre/2001.</w:t>
      </w:r>
    </w:p>
    <w:p>
      <w:pPr>
        <w:pStyle w:val="Normal"/>
        <w:spacing w:lineRule="auto" w:line="240"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CARLOS, Ana Fani Alessandri. </w:t>
      </w:r>
      <w:r>
        <w:rPr>
          <w:rFonts w:cs="Arial" w:ascii="Arial" w:hAnsi="Arial"/>
          <w:b/>
        </w:rPr>
        <w:t>O Espaço Urbano: Novos Escritos sobre a Cidade</w:t>
      </w:r>
      <w:r>
        <w:rPr>
          <w:rFonts w:cs="Arial" w:ascii="Arial" w:hAnsi="Arial"/>
        </w:rPr>
        <w:t>. São Paulo: FFLCH, 2007, p. 1-123.</w:t>
      </w:r>
    </w:p>
    <w:p>
      <w:pPr>
        <w:pStyle w:val="Normal"/>
        <w:spacing w:lineRule="auto" w:line="240"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CAVALCANTI, Lana de S. </w:t>
      </w:r>
      <w:r>
        <w:rPr>
          <w:rFonts w:cs="Arial" w:ascii="Arial" w:hAnsi="Arial"/>
          <w:b/>
        </w:rPr>
        <w:t>A geografia escolar e a cidade: ensaios sobre o ensino de geografia para a vida urbana cotidiana</w:t>
      </w:r>
      <w:r>
        <w:rPr>
          <w:rFonts w:cs="Arial" w:ascii="Arial" w:hAnsi="Arial"/>
        </w:rPr>
        <w:t>. Campinas (SP): Papirus, 2008.</w:t>
      </w:r>
    </w:p>
    <w:p>
      <w:pPr>
        <w:pStyle w:val="Normal"/>
        <w:spacing w:lineRule="auto" w:line="240"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CORRÊA, Roberto Lobato. </w:t>
      </w:r>
      <w:r>
        <w:rPr>
          <w:rFonts w:cs="Arial" w:ascii="Arial" w:hAnsi="Arial"/>
          <w:b/>
        </w:rPr>
        <w:t>O Espaço Urbano</w:t>
      </w:r>
      <w:r>
        <w:rPr>
          <w:rFonts w:cs="Arial" w:ascii="Arial" w:hAnsi="Arial"/>
        </w:rPr>
        <w:t>. 3ª Ed. São Paulo: Editora Ática S.A, 1995.</w:t>
      </w:r>
      <w:bookmarkStart w:id="0" w:name="_Hlk33801925"/>
      <w:bookmarkEnd w:id="0"/>
    </w:p>
    <w:p>
      <w:pPr>
        <w:pStyle w:val="Normal"/>
        <w:spacing w:lineRule="auto" w:line="240"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CORTEZ, José Xavier. Apresentação. In: KI-ZEBRO, Joseph (editor). </w:t>
      </w:r>
      <w:r>
        <w:rPr>
          <w:rFonts w:cs="Arial" w:ascii="Arial" w:hAnsi="Arial"/>
          <w:b/>
        </w:rPr>
        <w:t>Metodologia e pré-história da África</w:t>
      </w:r>
      <w:r>
        <w:rPr>
          <w:rFonts w:cs="Arial" w:ascii="Arial" w:hAnsi="Arial"/>
        </w:rPr>
        <w:t>. 3. Ed.  Tradução MEC – Centro de Estudos Afro-Brasileiros da Universidade Federal de São Carlos. São Paulo: Cortez; Brasília; UNESCO,2011. – (Coleção História Geral da Afric; vol.1).</w:t>
      </w:r>
    </w:p>
    <w:p>
      <w:pPr>
        <w:pStyle w:val="Normal"/>
        <w:spacing w:lineRule="auto" w:line="240" w:before="240" w:after="24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 xml:space="preserve">CUNHA, Maria Isabel da. </w:t>
      </w:r>
      <w:r>
        <w:rPr>
          <w:rFonts w:eastAsia="Times New Roman" w:cs="Arial" w:ascii="Arial" w:hAnsi="Arial"/>
          <w:b/>
          <w:lang w:eastAsia="pt-BR"/>
        </w:rPr>
        <w:t>Os conceitos de espaço, lugar e território nos processos analíticos da formação dos docentes universitários</w:t>
      </w:r>
      <w:r>
        <w:rPr>
          <w:rFonts w:eastAsia="Times New Roman" w:cs="Arial" w:ascii="Arial" w:hAnsi="Arial"/>
          <w:lang w:eastAsia="pt-BR"/>
        </w:rPr>
        <w:t>. Revista Educação UNISINOS. V-12, n.3.Rio Grande do Sul: 2008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FERREIRA, Ricardo Franklin. </w:t>
      </w:r>
      <w:r>
        <w:rPr>
          <w:rFonts w:cs="Arial" w:ascii="Arial" w:hAnsi="Arial"/>
          <w:b/>
        </w:rPr>
        <w:t>O brasileiro, o racismo silencioso e a emancipação do afro-descendente</w:t>
      </w:r>
      <w:r>
        <w:rPr>
          <w:rFonts w:cs="Arial" w:ascii="Arial" w:hAnsi="Arial"/>
        </w:rPr>
        <w:t>. Psicologia e sociedade, v.14. Universidade de São Marcos: 2002,p.69-89.</w:t>
      </w:r>
    </w:p>
    <w:p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jc w:val="both"/>
        <w:rPr/>
      </w:pPr>
      <w:r>
        <w:rPr>
          <w:rFonts w:cs="Arial" w:ascii="Arial" w:hAnsi="Arial"/>
          <w:sz w:val="22"/>
          <w:szCs w:val="22"/>
        </w:rPr>
        <w:t>GOMES</w:t>
      </w:r>
      <w:r>
        <w:rPr>
          <w:rFonts w:cs="Arial" w:ascii="Arial" w:hAnsi="Arial"/>
          <w:b/>
          <w:sz w:val="22"/>
          <w:szCs w:val="22"/>
        </w:rPr>
        <w:t>,</w:t>
      </w:r>
      <w:r>
        <w:rPr>
          <w:rFonts w:cs="Arial" w:ascii="Arial" w:hAnsi="Arial"/>
          <w:sz w:val="22"/>
          <w:szCs w:val="22"/>
        </w:rPr>
        <w:t xml:space="preserve"> Nilma Lino. </w:t>
      </w:r>
      <w:r>
        <w:rPr>
          <w:rFonts w:cs="Arial" w:ascii="Arial" w:hAnsi="Arial"/>
          <w:b/>
          <w:bCs/>
          <w:sz w:val="22"/>
          <w:szCs w:val="22"/>
        </w:rPr>
        <w:t>Relações Étnico-raciais, Educação e Descolonização dos Currículos.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bCs/>
          <w:iCs/>
          <w:sz w:val="22"/>
          <w:szCs w:val="22"/>
        </w:rPr>
        <w:t>Currículo sem Fronteiras</w:t>
      </w:r>
      <w:r>
        <w:rPr>
          <w:rFonts w:cs="Arial" w:ascii="Arial" w:hAnsi="Arial"/>
          <w:sz w:val="22"/>
          <w:szCs w:val="22"/>
        </w:rPr>
        <w:t xml:space="preserve">, v.12, n.1, pp. 98-109, Jan/Abr 2012. Disponível em:&lt; </w:t>
      </w:r>
      <w:hyperlink r:id="rId2">
        <w:r>
          <w:rPr>
            <w:rStyle w:val="LinkdaInternet"/>
            <w:rFonts w:cs="Arial" w:ascii="Arial" w:hAnsi="Arial"/>
            <w:sz w:val="22"/>
            <w:szCs w:val="22"/>
          </w:rPr>
          <w:t>http://www.curriculosemfronteiras.org/vol12iss1articles/gomes.htm</w:t>
        </w:r>
      </w:hyperlink>
      <w:r>
        <w:rPr>
          <w:rFonts w:cs="Arial" w:ascii="Arial" w:hAnsi="Arial"/>
          <w:sz w:val="22"/>
          <w:szCs w:val="22"/>
        </w:rPr>
        <w:t>&gt; Acesso em: 05 abr. 2019</w:t>
      </w:r>
    </w:p>
    <w:p>
      <w:pPr>
        <w:pStyle w:val="Normal"/>
        <w:spacing w:lineRule="auto" w:line="240" w:before="240" w:after="24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 xml:space="preserve">KAERCHER, Nestor André . </w:t>
      </w:r>
      <w:r>
        <w:rPr>
          <w:rFonts w:eastAsia="Times New Roman" w:cs="Arial" w:ascii="Arial" w:hAnsi="Arial"/>
          <w:b/>
          <w:lang w:eastAsia="pt-BR"/>
        </w:rPr>
        <w:t>Quando a geografia crítica pode ser um pastel de vendo</w:t>
      </w:r>
      <w:r>
        <w:rPr>
          <w:rFonts w:eastAsia="Times New Roman" w:cs="Arial" w:ascii="Arial" w:hAnsi="Arial"/>
          <w:lang w:eastAsia="pt-BR"/>
        </w:rPr>
        <w:t>. Mercator- Revista de geografia da UFC. Ceará: 2004.</w:t>
      </w:r>
    </w:p>
    <w:p>
      <w:pPr>
        <w:pStyle w:val="NormalWeb"/>
        <w:spacing w:beforeAutospacing="0" w:before="240" w:afterAutospacing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LIBÂNEO, J.C. </w:t>
      </w:r>
      <w:r>
        <w:rPr>
          <w:rFonts w:cs="Arial" w:ascii="Arial" w:hAnsi="Arial"/>
          <w:b/>
          <w:sz w:val="22"/>
          <w:szCs w:val="22"/>
        </w:rPr>
        <w:t>Organização e gestão da escola</w:t>
      </w:r>
      <w:r>
        <w:rPr>
          <w:rFonts w:cs="Arial" w:ascii="Arial" w:hAnsi="Arial"/>
          <w:sz w:val="22"/>
          <w:szCs w:val="22"/>
        </w:rPr>
        <w:t>. Goiânia: Alternativa, 2005b.</w:t>
      </w:r>
    </w:p>
    <w:p>
      <w:pPr>
        <w:pStyle w:val="Normal"/>
        <w:spacing w:lineRule="auto" w:line="240" w:before="0" w:after="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rightMargin">
                  <wp:align>center</wp:align>
                </wp:positionH>
                <wp:positionV relativeFrom="margin">
                  <wp:align>bottom</wp:align>
                </wp:positionV>
                <wp:extent cx="513080" cy="697230"/>
                <wp:effectExtent l="0" t="0" r="3810" b="0"/>
                <wp:wrapNone/>
                <wp:docPr id="7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80" cy="69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sdt>
                            <w:sdtPr>
                              <w:docPartObj>
                                <w:docPartGallery w:val="Page Numbers (Margins)"/>
                                <w:docPartUnique w:val="true"/>
                              </w:docPartObj>
                              <w:id w:val="1132875142"/>
                            </w:sdtPr>
                            <w:sdtContent>
                              <w:p>
                                <w:pPr>
                                  <w:pStyle w:val="Rodap"/>
                                  <w:rPr/>
                                </w:pPr>
                                <w:r>
                                  <w:rPr>
                                    <w:rFonts w:eastAsia="" w:cs="" w:ascii="Calibri Light" w:hAnsi="Calibri Light" w:asciiTheme="majorHAnsi" w:cstheme="majorBidi" w:eastAsiaTheme="majorEastAsia" w:hAnsiTheme="majorHAnsi"/>
                                    <w:color w:val="000000"/>
                                  </w:rPr>
                                  <w:t>Página</w:t>
                                </w:r>
                                <w:r>
                                  <w:rPr>
                                    <w:rFonts w:eastAsia="" w:cs="" w:ascii="Calibri Light" w:hAnsi="Calibri Light"/>
                                    <w:sz w:val="44"/>
                                    <w:szCs w:val="4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instrText> PAGE </w:instrTex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t>2</w: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anchor="ctr" vert="vert270" rot="16200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2" stroked="f" style="position:absolute;margin-left:15.25pt;margin-top:645.2pt;width:40.3pt;height:54.8pt;mso-position-horizontal:center;mso-position-horizontal-relative:page;mso-position-vertical:bottom;mso-position-vertical-relative:margin">
                <w10:wrap type="square"/>
                <v:fill o:detectmouseclick="t" on="false"/>
                <v:stroke color="#3465a4" joinstyle="round" endcap="flat"/>
                <v:textbox style="mso-layout-flow-alt:bottom-to-top">
                  <w:txbxContent>
                    <w:sdt>
                      <w:sdtPr>
                        <w:docPartObj>
                          <w:docPartGallery w:val="Page Numbers (Margins)"/>
                          <w:docPartUnique w:val="true"/>
                        </w:docPartObj>
                        <w:id w:val="1611548593"/>
                      </w:sdtPr>
                      <w:sdtContent>
                        <w:p>
                          <w:pPr>
                            <w:pStyle w:val="Rodap"/>
                            <w:rPr/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val="000000"/>
                            </w:rPr>
                            <w:t>Página</w:t>
                          </w:r>
                          <w:r>
                            <w:rPr>
                              <w:rFonts w:eastAsia="" w:cs="" w:ascii="Calibri Light" w:hAnsi="Calibri Light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instrText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t>2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>
        <w:rPr>
          <w:rFonts w:eastAsia="Times New Roman" w:cs="Arial" w:ascii="Arial" w:hAnsi="Arial"/>
          <w:lang w:eastAsia="pt-BR"/>
        </w:rPr>
        <w:t xml:space="preserve">MARGUTI, Bárbara Oliveira; ROCHA, Betty Nogueira; PINTO, Carlos Vinícius da Silva; COSTA, Marco Aurélio; CURI, Rodrigo Luis Comini. </w:t>
      </w:r>
      <w:r>
        <w:rPr>
          <w:rFonts w:eastAsia="Times New Roman" w:cs="Arial" w:ascii="Arial" w:hAnsi="Arial"/>
          <w:b/>
          <w:lang w:eastAsia="pt-BR"/>
        </w:rPr>
        <w:t xml:space="preserve">A nova Plataforma da vulnerabilidade social: primeiro resultados do índice de vulnerabilidade social para a série histórica da PNAD(2011-2015) e desagregações por sexo, cor e situação de domicilio. </w:t>
      </w:r>
      <w:r>
        <w:rPr>
          <w:rFonts w:eastAsia="Times New Roman" w:cs="Arial" w:ascii="Arial" w:hAnsi="Arial"/>
          <w:lang w:eastAsia="pt-BR"/>
        </w:rPr>
        <w:t xml:space="preserve">Disponível em: </w:t>
      </w:r>
      <w:hyperlink r:id="rId3">
        <w:r>
          <w:rPr>
            <w:rStyle w:val="ListLabel2"/>
            <w:rFonts w:eastAsia="Times New Roman" w:cs="Arial" w:ascii="Arial" w:hAnsi="Arial"/>
            <w:color w:val="0000FF"/>
            <w:u w:val="single"/>
            <w:lang w:eastAsia="pt-BR"/>
          </w:rPr>
          <w:t>http://www.ipea.gov.br/portal/images/stories/PDFs/relatoriopesquisa/170823_lancamento_ivs_metodologia_e_primeiros_resultados.pdf</w:t>
        </w:r>
      </w:hyperlink>
      <w:r>
        <w:rPr>
          <w:rFonts w:eastAsia="Times New Roman" w:cs="Arial" w:ascii="Arial" w:hAnsi="Arial"/>
          <w:lang w:eastAsia="pt-BR"/>
        </w:rPr>
        <w:t>. Acesso em: 10abril2019.</w:t>
      </w:r>
    </w:p>
    <w:p>
      <w:pPr>
        <w:pStyle w:val="Normal"/>
        <w:spacing w:lineRule="auto" w:line="240" w:before="240" w:after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MELO, Luís Gonzaga de. </w:t>
      </w:r>
      <w:r>
        <w:rPr>
          <w:rFonts w:cs="Arial" w:ascii="Arial" w:hAnsi="Arial"/>
          <w:b/>
        </w:rPr>
        <w:t>Antropologia cultural: iniciação, teoria e temas</w:t>
      </w:r>
      <w:r>
        <w:rPr>
          <w:rFonts w:cs="Arial" w:ascii="Arial" w:hAnsi="Arial"/>
        </w:rPr>
        <w:t>. Vozes, 13.Ed. Petrópolis: 2007.</w:t>
      </w:r>
    </w:p>
    <w:p>
      <w:pPr>
        <w:pStyle w:val="NormalWeb"/>
        <w:spacing w:beforeAutospacing="0" w:before="240" w:afterAutospacing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MOREIRA, Ruy. Pensar e ser em geografi a. São Paulo: Contexto, 2007.</w:t>
      </w:r>
    </w:p>
    <w:p>
      <w:pPr>
        <w:pStyle w:val="Normal"/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ROGERIO, JOSÉ. </w:t>
      </w:r>
      <w:r>
        <w:rPr>
          <w:rFonts w:cs="Arial" w:ascii="Arial" w:hAnsi="Arial"/>
          <w:b/>
        </w:rPr>
        <w:t>Exclusão Social, Privações e Vulnerabilidade: Uma análise dos novos condicionamentos sociais</w:t>
      </w:r>
      <w:r>
        <w:rPr>
          <w:rFonts w:cs="Arial" w:ascii="Arial" w:hAnsi="Arial"/>
        </w:rPr>
        <w:t>. São Paulo em Perspectiva, v. 20, n. 1, p. 123-135, jan./mar. 2006.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SANTOS, Milton. </w:t>
      </w:r>
      <w:r>
        <w:rPr>
          <w:rFonts w:cs="Arial" w:ascii="Arial" w:hAnsi="Arial"/>
          <w:b/>
        </w:rPr>
        <w:t>A natureza do espaço: Técnica e Tempo, Razão e Emoção</w:t>
      </w:r>
      <w:r>
        <w:rPr>
          <w:rFonts w:cs="Arial" w:ascii="Arial" w:hAnsi="Arial"/>
        </w:rPr>
        <w:t>. Editora da Universidade de São Paulo, 4. Ed. 4. Reimpr. São Paulo: 2008.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SANTOS, Milton. </w:t>
      </w:r>
      <w:r>
        <w:rPr>
          <w:rFonts w:cs="Arial" w:ascii="Arial" w:hAnsi="Arial"/>
          <w:b/>
        </w:rPr>
        <w:t>O espaço do cidadão</w:t>
      </w:r>
      <w:r>
        <w:rPr>
          <w:rFonts w:cs="Arial" w:ascii="Arial" w:hAnsi="Arial"/>
        </w:rPr>
        <w:t>. 7 Ed, 2 reimpressão. Editora: Universidade de São Paulo. São Paulo: 2014.</w:t>
      </w:r>
      <w:bookmarkStart w:id="1" w:name="_Hlk33800173"/>
      <w:bookmarkEnd w:id="1"/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</w:rPr>
        <w:t xml:space="preserve">SOUZA, Marina de Mello e. </w:t>
      </w:r>
      <w:r>
        <w:rPr>
          <w:rFonts w:cs="Arial" w:ascii="Arial" w:hAnsi="Arial"/>
          <w:b/>
        </w:rPr>
        <w:t xml:space="preserve">A África tem história? </w:t>
      </w:r>
      <w:r>
        <w:rPr>
          <w:rFonts w:cs="Arial" w:ascii="Arial" w:hAnsi="Arial"/>
        </w:rPr>
        <w:t xml:space="preserve">Disponível em: </w:t>
      </w:r>
      <w:hyperlink r:id="rId4">
        <w:r>
          <w:rPr>
            <w:rStyle w:val="LinkdaInternet"/>
            <w:rFonts w:cs="Arial" w:ascii="Arial" w:hAnsi="Arial"/>
          </w:rPr>
          <w:t>http://www.usp.br/neib/filesA%20Africa%20tem%20história.pdf.htm</w:t>
        </w:r>
      </w:hyperlink>
      <w:r>
        <w:rPr>
          <w:rFonts w:cs="Arial" w:ascii="Arial" w:hAnsi="Arial"/>
        </w:rPr>
        <w:t>. Acesso em: 21 maio 2020.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 xml:space="preserve">STRAFORINI, Rafael. </w:t>
      </w:r>
      <w:r>
        <w:rPr>
          <w:rFonts w:eastAsia="Times New Roman" w:cs="Arial" w:ascii="Arial" w:hAnsi="Arial"/>
          <w:b/>
          <w:lang w:eastAsia="pt-BR"/>
        </w:rPr>
        <w:t>O ensino de Geografia como prática espacial de significação</w:t>
      </w:r>
      <w:r>
        <w:rPr>
          <w:rFonts w:eastAsia="Times New Roman" w:cs="Arial" w:ascii="Arial" w:hAnsi="Arial"/>
          <w:lang w:eastAsia="pt-BR"/>
        </w:rPr>
        <w:t>. Estudos Avançados 32 (93), 2018.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9">
                <wp:simplePos x="0" y="0"/>
                <wp:positionH relativeFrom="rightMargin">
                  <wp:align>center</wp:align>
                </wp:positionH>
                <wp:positionV relativeFrom="margin">
                  <wp:align>bottom</wp:align>
                </wp:positionV>
                <wp:extent cx="513080" cy="697230"/>
                <wp:effectExtent l="0" t="0" r="3810" b="0"/>
                <wp:wrapNone/>
                <wp:docPr id="9" name="Retângu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80" cy="69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sdt>
                            <w:sdtPr>
                              <w:docPartObj>
                                <w:docPartGallery w:val="Page Numbers (Margins)"/>
                                <w:docPartUnique w:val="true"/>
                              </w:docPartObj>
                              <w:id w:val="482483153"/>
                            </w:sdtPr>
                            <w:sdtContent>
                              <w:p>
                                <w:pPr>
                                  <w:pStyle w:val="Rodap"/>
                                  <w:rPr/>
                                </w:pPr>
                                <w:r>
                                  <w:rPr>
                                    <w:rFonts w:eastAsia="" w:cs="" w:ascii="Calibri Light" w:hAnsi="Calibri Light" w:asciiTheme="majorHAnsi" w:cstheme="majorBidi" w:eastAsiaTheme="majorEastAsia" w:hAnsiTheme="majorHAnsi"/>
                                    <w:color w:val="000000"/>
                                  </w:rPr>
                                  <w:t>Página</w:t>
                                </w:r>
                                <w:r>
                                  <w:rPr>
                                    <w:rFonts w:eastAsia="" w:cs="" w:ascii="Calibri Light" w:hAnsi="Calibri Light"/>
                                    <w:sz w:val="44"/>
                                    <w:szCs w:val="4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instrText> PAGE </w:instrTex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t>3</w:t>
                                </w:r>
                                <w:r>
                                  <w:rPr>
                                    <w:sz w:val="44"/>
                                    <w:szCs w:val="44"/>
                                    <w:rFonts w:eastAsia="" w:cs="" w:ascii="Calibri Light" w:hAnsi="Calibri Light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anchor="ctr" vert="vert270" rot="16200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2" stroked="f" style="position:absolute;margin-left:15.25pt;margin-top:645.2pt;width:40.3pt;height:54.8pt;mso-position-horizontal:center;mso-position-horizontal-relative:page;mso-position-vertical:bottom;mso-position-vertical-relative:margin">
                <w10:wrap type="square"/>
                <v:fill o:detectmouseclick="t" on="false"/>
                <v:stroke color="#3465a4" joinstyle="round" endcap="flat"/>
                <v:textbox style="mso-layout-flow-alt:bottom-to-top">
                  <w:txbxContent>
                    <w:sdt>
                      <w:sdtPr>
                        <w:docPartObj>
                          <w:docPartGallery w:val="Page Numbers (Margins)"/>
                          <w:docPartUnique w:val="true"/>
                        </w:docPartObj>
                        <w:id w:val="2026369989"/>
                      </w:sdtPr>
                      <w:sdtContent>
                        <w:p>
                          <w:pPr>
                            <w:pStyle w:val="Rodap"/>
                            <w:rPr/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val="000000"/>
                            </w:rPr>
                            <w:t>Página</w:t>
                          </w:r>
                          <w:r>
                            <w:rPr>
                              <w:rFonts w:eastAsia="" w:cs="" w:ascii="Calibri Light" w:hAnsi="Calibri Light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instrText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t>3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  <w:r>
        <w:rPr>
          <w:rFonts w:eastAsia="Times New Roman" w:cs="Arial" w:ascii="Arial" w:hAnsi="Arial"/>
          <w:lang w:eastAsia="pt-BR"/>
        </w:rPr>
        <w:t xml:space="preserve">THIESEN, Juares da Silva. </w:t>
      </w:r>
      <w:r>
        <w:rPr>
          <w:rFonts w:eastAsia="Times New Roman" w:cs="Arial" w:ascii="Arial" w:hAnsi="Arial"/>
          <w:b/>
          <w:lang w:eastAsia="pt-BR"/>
        </w:rPr>
        <w:t xml:space="preserve">Geografia escolar: dos conceitos essenciais às formas de abordagem no ensino. </w:t>
      </w:r>
      <w:r>
        <w:rPr>
          <w:rFonts w:eastAsia="Times New Roman" w:cs="Arial" w:ascii="Arial" w:hAnsi="Arial"/>
          <w:lang w:eastAsia="pt-BR"/>
        </w:rPr>
        <w:t>Geografia Ensino &amp; Pesquisa, v. 15, n.1, jan./abr. 2011.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Trabalho enviado em: 12/11/2020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r>
        <w:rPr>
          <w:rFonts w:eastAsia="Times New Roman" w:cs="Arial" w:ascii="Times New Roman" w:hAnsi="Times New Roman"/>
          <w:lang w:eastAsia="pt-BR"/>
        </w:rPr>
        <w:t>Trabalho aceito em: 22/0832022</w:t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Britannic Bol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74103451"/>
    </w:sdtPr>
    <w:sdtContent>
      <w:p>
        <w:pPr>
          <w:pStyle w:val="Rodap"/>
          <w:tabs>
            <w:tab w:val="clear" w:pos="8504"/>
            <w:tab w:val="center" w:pos="4252" w:leader="none"/>
          </w:tabs>
          <w:ind w:right="281" w:hanging="0"/>
          <w:jc w:val="both"/>
          <w:rPr/>
        </w:pPr>
        <w:r>
          <w:rPr>
            <w:rFonts w:cs="Arial" w:ascii="Britannic Bold" w:hAnsi="Britannic Bold"/>
            <w:color w:val="5B9BD5"/>
            <w:sz w:val="22"/>
            <w:szCs w:val="22"/>
          </w:rPr>
          <w:t xml:space="preserve">Revista Amazônica Sobre Ensino de Geografia. </w:t>
        </w:r>
        <w:r>
          <w:rPr>
            <w:rFonts w:cs="Arial" w:ascii="Britannic Bold" w:hAnsi="Britannic Bold"/>
            <w:color w:val="5B9BD5"/>
            <w:sz w:val="22"/>
            <w:szCs w:val="22"/>
            <w:lang w:val="en-US"/>
          </w:rPr>
          <w:t xml:space="preserve">Belém, v. n. p. </w:t>
        </w:r>
        <w:r>
          <w:rPr>
            <w:rFonts w:cs="Arial" w:ascii="Britannic Bold" w:hAnsi="Britannic Bold"/>
            <w:color w:val="5B9BD5"/>
            <w:sz w:val="22"/>
            <w:szCs w:val="22"/>
            <w:lang w:val="en-US"/>
          </w:rPr>
          <w:t>mês/ano</w:t>
        </w:r>
        <w:r>
          <w:rPr>
            <w:rFonts w:cs="Arial" w:ascii="Britannic Bold" w:hAnsi="Britannic Bold"/>
            <w:color w:val="5B9BD5"/>
            <w:sz w:val="22"/>
            <w:szCs w:val="22"/>
            <w:lang w:val="en-US"/>
          </w:rPr>
          <w:t>.</w:t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derodap"/>
        <w:jc w:val="both"/>
        <w:rPr/>
      </w:pPr>
      <w:r>
        <w:rPr>
          <w:rStyle w:val="Caracteresdenotaderodap"/>
        </w:rPr>
        <w:footnoteRef/>
      </w:r>
      <w:r>
        <w:rPr>
          <w:rFonts w:ascii="Times New Roman" w:hAnsi="Times New Roman"/>
        </w:rPr>
        <w:t xml:space="preserve"> </w:t>
      </w:r>
    </w:p>
  </w:footnote>
  <w:footnote w:id="3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bookmarkStart w:id="2" w:name="__DdeLink__21550_570533392"/>
      <w:r>
        <w:rPr>
          <w:rFonts w:eastAsia="Calibri" w:cs="" w:ascii="Times New Roman" w:hAnsi="Times New Roman" w:cstheme="minorBidi" w:eastAsiaTheme="minorHAnsi"/>
          <w:color w:val="auto"/>
          <w:kern w:val="0"/>
          <w:sz w:val="20"/>
          <w:szCs w:val="20"/>
          <w:lang w:val="pt-BR" w:eastAsia="en-US" w:bidi="ar-SA"/>
        </w:rPr>
        <w:t>Somente na versão final, em caso de aprovação.</w:t>
      </w:r>
      <w:bookmarkEnd w:id="2"/>
    </w:p>
  </w:footnote>
  <w:footnote w:id="4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0"/>
          <w:szCs w:val="20"/>
          <w:lang w:val="pt-BR" w:eastAsia="en-US" w:bidi="ar-SA"/>
        </w:rPr>
        <w:t>Somente na versão final, em caso de aprovação.</w:t>
      </w:r>
    </w:p>
  </w:footnote>
  <w:footnote w:id="5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0"/>
          <w:szCs w:val="20"/>
          <w:lang w:val="pt-BR" w:eastAsia="en-US" w:bidi="ar-SA"/>
        </w:rPr>
        <w:t>Somente na versão final, em caso de aprovação.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right="-2" w:hanging="0"/>
      <w:jc w:val="right"/>
      <w:rPr/>
    </w:pPr>
    <w:r>
      <w:rPr/>
      <w:drawing>
        <wp:anchor behindDoc="1" distT="0" distB="0" distL="114300" distR="114300" simplePos="0" locked="0" layoutInCell="1" allowOverlap="1" relativeHeight="4">
          <wp:simplePos x="0" y="0"/>
          <wp:positionH relativeFrom="margin">
            <wp:align>center</wp:align>
          </wp:positionH>
          <wp:positionV relativeFrom="paragraph">
            <wp:posOffset>-86360</wp:posOffset>
          </wp:positionV>
          <wp:extent cx="6047105" cy="535940"/>
          <wp:effectExtent l="0" t="0" r="0" b="0"/>
          <wp:wrapSquare wrapText="bothSides"/>
          <wp:docPr id="11" name="Figura2" descr="topo3_revista_RAS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2" descr="topo3_revista_RASE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47105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9635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055f83"/>
    <w:rPr/>
  </w:style>
  <w:style w:type="character" w:styleId="RodapChar" w:customStyle="1">
    <w:name w:val="Rodapé Char"/>
    <w:basedOn w:val="DefaultParagraphFont"/>
    <w:link w:val="Rodap"/>
    <w:uiPriority w:val="99"/>
    <w:qFormat/>
    <w:rsid w:val="00055f83"/>
    <w:rPr/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1b457f"/>
    <w:rPr>
      <w:sz w:val="20"/>
      <w:szCs w:val="20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b457f"/>
    <w:rPr>
      <w:vertAlign w:val="superscript"/>
    </w:rPr>
  </w:style>
  <w:style w:type="character" w:styleId="RodapTemplateChar" w:customStyle="1">
    <w:name w:val="RodapéTemplate Char"/>
    <w:basedOn w:val="TextodenotaderodapChar"/>
    <w:link w:val="RodapTemplate"/>
    <w:qFormat/>
    <w:rsid w:val="001b457f"/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03a54"/>
    <w:rPr>
      <w:b/>
      <w:bCs/>
    </w:rPr>
  </w:style>
  <w:style w:type="character" w:styleId="Nfase">
    <w:name w:val="Ênfase"/>
    <w:basedOn w:val="DefaultParagraphFont"/>
    <w:uiPriority w:val="20"/>
    <w:qFormat/>
    <w:rsid w:val="00903a54"/>
    <w:rPr>
      <w:i/>
      <w:iCs/>
    </w:rPr>
  </w:style>
  <w:style w:type="character" w:styleId="Appleconvertedspace" w:customStyle="1">
    <w:name w:val="apple-converted-space"/>
    <w:basedOn w:val="DefaultParagraphFont"/>
    <w:qFormat/>
    <w:rsid w:val="00903a54"/>
    <w:rPr/>
  </w:style>
  <w:style w:type="character" w:styleId="LinkdaInternet">
    <w:name w:val="Link da Internet"/>
    <w:basedOn w:val="DefaultParagraphFont"/>
    <w:uiPriority w:val="99"/>
    <w:unhideWhenUsed/>
    <w:rsid w:val="008f7646"/>
    <w:rPr>
      <w:color w:val="0563C1" w:themeColor="hyperlink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635d7d"/>
    <w:rPr>
      <w:rFonts w:ascii="Tahoma" w:hAnsi="Tahoma" w:cs="Tahoma"/>
      <w:sz w:val="16"/>
      <w:szCs w:val="16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55f8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055f8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1b457f"/>
    <w:pPr>
      <w:spacing w:lineRule="auto" w:line="240" w:before="0" w:after="0"/>
    </w:pPr>
    <w:rPr>
      <w:sz w:val="20"/>
      <w:szCs w:val="20"/>
    </w:rPr>
  </w:style>
  <w:style w:type="paragraph" w:styleId="RodapTemplate" w:customStyle="1">
    <w:name w:val="RodapéTemplate"/>
    <w:basedOn w:val="Notaderodap"/>
    <w:link w:val="RodapTemplateChar"/>
    <w:qFormat/>
    <w:rsid w:val="001b457f"/>
    <w:pPr>
      <w:ind w:left="142" w:hanging="142"/>
      <w:jc w:val="both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unhideWhenUsed/>
    <w:qFormat/>
    <w:rsid w:val="00903a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Default" w:customStyle="1">
    <w:name w:val="Default"/>
    <w:qFormat/>
    <w:rsid w:val="00ef36a0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en-US" w:bidi="ar-SA"/>
    </w:rPr>
  </w:style>
  <w:style w:type="paragraph" w:styleId="ListParagraph">
    <w:name w:val="List Paragraph"/>
    <w:basedOn w:val="Normal"/>
    <w:uiPriority w:val="34"/>
    <w:qFormat/>
    <w:rsid w:val="00e74c65"/>
    <w:pPr>
      <w:spacing w:lineRule="auto" w:line="240" w:before="0" w:after="6"/>
      <w:ind w:left="720" w:right="9" w:hanging="10"/>
      <w:contextualSpacing/>
      <w:jc w:val="both"/>
    </w:pPr>
    <w:rPr>
      <w:rFonts w:ascii="Arial" w:hAnsi="Arial" w:eastAsia="Arial" w:cs="Arial"/>
      <w:color w:val="000000"/>
      <w:sz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635d7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urriculosemfronteiras.org/vol12iss1articles/gomes.htm" TargetMode="External"/><Relationship Id="rId3" Type="http://schemas.openxmlformats.org/officeDocument/2006/relationships/hyperlink" Target="http://www.ipea.gov.br/portal/images/stories/PDFs/relatoriopesquisa/170823_lancamento_ivs_metodologia_e_primeiros_resultados.pdf" TargetMode="External"/><Relationship Id="rId4" Type="http://schemas.openxmlformats.org/officeDocument/2006/relationships/hyperlink" Target="http://www.usp.br/neib/filesA Africa tem hist&#243;ria.pdf.htm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5023A-2E6D-4495-997C-DCC2A94B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LibreOffice/6.3.0.4$Windows_X86_64 LibreOffice_project/057fc023c990d676a43019934386b85b21a9ee99</Application>
  <Pages>3</Pages>
  <Words>655</Words>
  <Characters>4050</Characters>
  <CharactersWithSpaces>4672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2020-11-12T19:40:00Z</dcterms:created>
  <dc:creator>Gustavo Teramatsu</dc:creator>
  <dc:description/>
  <dc:language>pt-BR</dc:language>
  <cp:lastModifiedBy/>
  <dcterms:modified xsi:type="dcterms:W3CDTF">2023-01-09T00:10:20Z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